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DB" w:rsidRDefault="00FE33A6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C47DB" w:rsidRDefault="00FE33A6">
      <w:pPr>
        <w:pStyle w:val="Nagwek1"/>
      </w:pPr>
      <w:r>
        <w:t xml:space="preserve">SYLABUS </w:t>
      </w:r>
    </w:p>
    <w:p w:rsidR="00CC47DB" w:rsidRDefault="00FE33A6">
      <w:pPr>
        <w:spacing w:after="0"/>
        <w:ind w:right="6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 w:rsidR="001C3CE5">
        <w:rPr>
          <w:rFonts w:ascii="Corbel" w:eastAsia="Corbel" w:hAnsi="Corbel" w:cs="Corbel"/>
          <w:i/>
          <w:sz w:val="24"/>
        </w:rPr>
        <w:t xml:space="preserve"> 2020-2023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CC47DB" w:rsidRDefault="001C3CE5">
      <w:pPr>
        <w:tabs>
          <w:tab w:val="center" w:pos="708"/>
          <w:tab w:val="center" w:pos="1416"/>
          <w:tab w:val="center" w:pos="2124"/>
          <w:tab w:val="center" w:pos="4399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...2020/2021</w:t>
      </w:r>
      <w:bookmarkStart w:id="0" w:name="_GoBack"/>
      <w:bookmarkEnd w:id="0"/>
      <w:r w:rsidR="00FE33A6">
        <w:rPr>
          <w:rFonts w:ascii="Corbel" w:eastAsia="Corbel" w:hAnsi="Corbel" w:cs="Corbel"/>
          <w:sz w:val="20"/>
        </w:rPr>
        <w:t xml:space="preserve">............. </w:t>
      </w:r>
    </w:p>
    <w:p w:rsidR="00CC47DB" w:rsidRDefault="00FE33A6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Wybrane problemy z filozofii człowieka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CC47DB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CC47DB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CC47DB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 semestr II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Fakultatywny </w:t>
            </w:r>
          </w:p>
        </w:tc>
      </w:tr>
      <w:tr w:rsidR="00CC47DB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 polski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M. Bosak </w:t>
            </w:r>
          </w:p>
        </w:tc>
      </w:tr>
      <w:tr w:rsidR="00CC47DB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M. Bosak </w:t>
            </w:r>
          </w:p>
        </w:tc>
      </w:tr>
    </w:tbl>
    <w:p w:rsidR="00CC47DB" w:rsidRDefault="00FE33A6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proofErr w:type="spellStart"/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</w:t>
      </w:r>
      <w:proofErr w:type="spellEnd"/>
      <w:r>
        <w:rPr>
          <w:rFonts w:ascii="Corbel" w:eastAsia="Corbel" w:hAnsi="Corbel" w:cs="Corbel"/>
          <w:i/>
          <w:sz w:val="24"/>
        </w:rPr>
        <w:t xml:space="preserve">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3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CC47DB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CC47DB" w:rsidRDefault="00FE33A6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CC47D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  <w:tr w:rsidR="00CC47D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5" w:line="250" w:lineRule="auto"/>
        <w:ind w:left="709" w:right="6031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CC47DB" w:rsidRDefault="00FE33A6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11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19"/>
      </w:pPr>
      <w:r>
        <w:rPr>
          <w:rFonts w:ascii="Corbel" w:eastAsia="Corbel" w:hAnsi="Corbel" w:cs="Corbel"/>
          <w:sz w:val="19"/>
        </w:rPr>
        <w:t xml:space="preserve">                 </w:t>
      </w:r>
      <w:r>
        <w:rPr>
          <w:rFonts w:ascii="Corbel" w:eastAsia="Corbel" w:hAnsi="Corbel" w:cs="Corbel"/>
          <w:sz w:val="24"/>
        </w:rPr>
        <w:t>Z</w:t>
      </w:r>
      <w:r>
        <w:rPr>
          <w:rFonts w:ascii="Corbel" w:eastAsia="Corbel" w:hAnsi="Corbel" w:cs="Corbel"/>
          <w:sz w:val="19"/>
        </w:rPr>
        <w:t>ALICZENIE Z OCENĄ</w:t>
      </w: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50" w:lineRule="auto"/>
        <w:ind w:left="226" w:hanging="10"/>
      </w:pPr>
      <w:r>
        <w:rPr>
          <w:rFonts w:ascii="Corbel" w:eastAsia="Corbel" w:hAnsi="Corbel" w:cs="Corbel"/>
          <w:sz w:val="24"/>
        </w:rPr>
        <w:t xml:space="preserve">Zaliczony kurs historii filozofii starożytnej </w:t>
      </w:r>
    </w:p>
    <w:p w:rsidR="00CC47DB" w:rsidRDefault="00FE33A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16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pStyle w:val="Nagwek2"/>
        <w:ind w:left="-5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3"/>
        <w:ind w:left="370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10" w:type="dxa"/>
          <w:right w:w="158" w:type="dxa"/>
        </w:tblCellMar>
        <w:tblLook w:val="04A0" w:firstRow="1" w:lastRow="0" w:firstColumn="1" w:lastColumn="0" w:noHBand="0" w:noVBand="1"/>
      </w:tblPr>
      <w:tblGrid>
        <w:gridCol w:w="843"/>
        <w:gridCol w:w="8680"/>
      </w:tblGrid>
      <w:tr w:rsidR="00CC47DB">
        <w:trPr>
          <w:trHeight w:val="67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Celem przedmiotu jest zapoznanie słuchaczy z przedmiotem i wybranymi problemami Antropologii   filozoficznej. </w:t>
            </w:r>
          </w:p>
        </w:tc>
      </w:tr>
      <w:tr w:rsidR="00CC47DB">
        <w:trPr>
          <w:trHeight w:val="677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Wykład winien dostarczyć słuchaczom podstawowej wiedzy na temat historycznych i współczesnych koncepcji filozoficznych podejmujących pytanie o człowieka  </w:t>
            </w:r>
          </w:p>
        </w:tc>
      </w:tr>
      <w:tr w:rsidR="00CC47DB">
        <w:trPr>
          <w:trHeight w:val="677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Kurs powinien także dostarczyć słuchaczom podstawowych narzędzi teoretycznych do krytycznej analizy i interpretacji prezentowanych teorii.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"/>
        <w:ind w:left="438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865"/>
      </w:tblGrid>
      <w:tr w:rsidR="00CC47DB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righ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118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zna i rozumie - historyczne kształtowanie się idei filozoficznych, poglądy i pisma klasycznych autorów filozoficznych, rolę refleksji filozoficznej w kształtowaniu kultury i społeczeństwa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19"/>
            </w:pPr>
            <w:r>
              <w:rPr>
                <w:rFonts w:ascii="Corbel" w:eastAsia="Corbel" w:hAnsi="Corbel" w:cs="Corbel"/>
                <w:sz w:val="24"/>
              </w:rPr>
              <w:t xml:space="preserve">P6S_WG </w:t>
            </w:r>
          </w:p>
          <w:p w:rsidR="00CC47DB" w:rsidRDefault="00FE33A6">
            <w:pPr>
              <w:ind w:righ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12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 w:right="5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P6S_UK </w:t>
            </w:r>
          </w:p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1474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K_K01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jest gotów do krytycznej oceny posiadanej przez siebie wiedzy, przyjmowania nowych idei, zmiany opinii w świetle dostępnych danych i argumentów; do formułowania propozycji rozwiązania rozpoznanych problemów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19"/>
            </w:pPr>
            <w:r>
              <w:rPr>
                <w:rFonts w:ascii="Corbel" w:eastAsia="Corbel" w:hAnsi="Corbel" w:cs="Corbel"/>
                <w:sz w:val="24"/>
              </w:rPr>
              <w:t xml:space="preserve">P6S_KK </w:t>
            </w:r>
          </w:p>
          <w:p w:rsidR="00CC47DB" w:rsidRDefault="00FE33A6">
            <w:pPr>
              <w:ind w:righ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1184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 w:right="44"/>
            </w:pPr>
            <w:r>
              <w:rPr>
                <w:rFonts w:ascii="Corbel" w:eastAsia="Corbel" w:hAnsi="Corbel" w:cs="Corbel"/>
                <w:sz w:val="24"/>
              </w:rPr>
              <w:t xml:space="preserve">absolwent jest gotów do zaangażowanego uczestnictwa w życiu społecznym ze świadomością znaczenia refleksji humanistycznej dla kształtowania więzi społecznych; myślenia i działania w sposób przedsiębiorczy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P6S_KO </w:t>
            </w:r>
          </w:p>
          <w:p w:rsidR="00CC47DB" w:rsidRDefault="00FE33A6">
            <w:pPr>
              <w:ind w:righ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"/>
        <w:ind w:left="438" w:hanging="10"/>
      </w:pPr>
      <w:r>
        <w:rPr>
          <w:rFonts w:ascii="Corbel" w:eastAsia="Corbel" w:hAnsi="Corbel" w:cs="Corbel"/>
          <w:b/>
          <w:sz w:val="24"/>
        </w:rPr>
        <w:lastRenderedPageBreak/>
        <w:t xml:space="preserve">3.3Treści programowe  </w:t>
      </w:r>
    </w:p>
    <w:p w:rsidR="00CC47DB" w:rsidRDefault="00FE33A6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CC47DB" w:rsidRDefault="00FE33A6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Antropologia filozoficzna, jej przedmiot i miejsce wśród pozostałych dziedzin filozofii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Starożytne koncepcje natury człowieka </w:t>
            </w:r>
          </w:p>
        </w:tc>
      </w:tr>
      <w:tr w:rsidR="00CC47DB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w ujęciu europejskiej myśli filozoficznej wieków średnich 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Rozum jako istota człowieczeństwa w perspektywie nowożytnych koncepcji filozoficznych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istota biologiczna w perspektywie „filozofii życia”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„asceta życiowy” – ujęcie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Maxa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Schelera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Egzystencja w ujęciu M. Heideggera i J.P. Sartre’a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osoba – ujęcie E. Mouniera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byt przygodny – perspektywa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neopragmatyczna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CC47DB" w:rsidRDefault="00FE33A6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right w:w="115" w:type="dxa"/>
        </w:tblCellMar>
        <w:tblLook w:val="04A0" w:firstRow="1" w:lastRow="0" w:firstColumn="1" w:lastColumn="0" w:noHBand="0" w:noVBand="1"/>
      </w:tblPr>
      <w:tblGrid>
        <w:gridCol w:w="3939"/>
        <w:gridCol w:w="5584"/>
      </w:tblGrid>
      <w:tr w:rsidR="00CC47DB">
        <w:trPr>
          <w:trHeight w:val="302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CC47DB"/>
        </w:tc>
      </w:tr>
      <w:tr w:rsidR="00CC47DB">
        <w:trPr>
          <w:trHeight w:val="303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C47DB">
        <w:trPr>
          <w:trHeight w:val="305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CC47DB"/>
        </w:tc>
      </w:tr>
      <w:tr w:rsidR="00CC47DB">
        <w:trPr>
          <w:trHeight w:val="302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CC47DB"/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"/>
        <w:ind w:left="438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projektów(projekt badawczy, wdrożeniowy, praktyczny), praca w grupach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tabs>
          <w:tab w:val="center" w:pos="1551"/>
        </w:tabs>
        <w:spacing w:after="3"/>
        <w:ind w:left="-15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        Wykład problemowy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numPr>
          <w:ilvl w:val="1"/>
          <w:numId w:val="2"/>
        </w:numPr>
        <w:spacing w:after="3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CC47DB">
        <w:trPr>
          <w:trHeight w:val="890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CC47DB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3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C47DB" w:rsidRDefault="00FE33A6">
      <w:pPr>
        <w:numPr>
          <w:ilvl w:val="1"/>
          <w:numId w:val="2"/>
        </w:numPr>
        <w:spacing w:after="3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:rsidR="00CC47DB" w:rsidRDefault="00FE33A6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50" w:lineRule="auto"/>
        <w:ind w:left="219" w:hanging="10"/>
      </w:pPr>
      <w:r>
        <w:rPr>
          <w:rFonts w:ascii="Corbel" w:eastAsia="Corbel" w:hAnsi="Corbel" w:cs="Corbel"/>
          <w:sz w:val="24"/>
        </w:rPr>
        <w:t xml:space="preserve">Warunkiem zaliczenia przedmiotu jest uczestnictwo w wykładach oraz napisane eseju zaliczeniowego. Kryteria oceny wypowiedzi pisemnej to: poprawność językowa, rzetelność i bogactwo zawartości informacyjnej, logiczność i przejrzystość wywodu, poprawność strony formalnej (poprawność wykonania odsyłaczy, bibliografii, poprawność struktury tekstu)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</w:t>
      </w:r>
    </w:p>
    <w:p w:rsidR="00CC47DB" w:rsidRDefault="00FE33A6">
      <w:pPr>
        <w:spacing w:after="3"/>
        <w:ind w:left="294" w:hanging="10"/>
      </w:pPr>
      <w:r>
        <w:rPr>
          <w:rFonts w:ascii="Corbel" w:eastAsia="Corbel" w:hAnsi="Corbel" w:cs="Corbel"/>
          <w:b/>
          <w:sz w:val="24"/>
        </w:rPr>
        <w:t xml:space="preserve">EFEKTÓW W GODZINACH ORAZ PUNKTACH ECTS 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87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CC47DB">
        <w:trPr>
          <w:trHeight w:val="596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6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CC47DB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125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CC47DB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0,5 </w:t>
            </w:r>
          </w:p>
        </w:tc>
      </w:tr>
      <w:tr w:rsidR="00CC47DB">
        <w:trPr>
          <w:trHeight w:val="118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CC47DB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30,5 </w:t>
            </w:r>
          </w:p>
        </w:tc>
      </w:tr>
      <w:tr w:rsidR="00CC47DB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</w:tbl>
    <w:p w:rsidR="00CC47DB" w:rsidRDefault="00FE33A6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C47DB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C47DB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65" w:type="dxa"/>
        </w:tblCellMar>
        <w:tblLook w:val="04A0" w:firstRow="1" w:lastRow="0" w:firstColumn="1" w:lastColumn="0" w:noHBand="0" w:noVBand="1"/>
      </w:tblPr>
      <w:tblGrid>
        <w:gridCol w:w="7515"/>
      </w:tblGrid>
      <w:tr w:rsidR="00CC47DB">
        <w:trPr>
          <w:trHeight w:val="426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podstawowa: </w:t>
            </w:r>
          </w:p>
          <w:p w:rsidR="00CC47DB" w:rsidRDefault="00FE33A6">
            <w:pPr>
              <w:numPr>
                <w:ilvl w:val="0"/>
                <w:numId w:val="3"/>
              </w:num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L. Zachariasz,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Antropotelizm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Wyd. UR, Rzeszów 2005 (fragm.) </w:t>
            </w:r>
          </w:p>
          <w:p w:rsidR="00CC47DB" w:rsidRDefault="00FE33A6">
            <w:pPr>
              <w:numPr>
                <w:ilvl w:val="0"/>
                <w:numId w:val="3"/>
              </w:num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Suchodolski,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Rozwój nowożytnej filozofii człowieka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PWN, Warszawa 1967 (fragm.) </w:t>
            </w:r>
          </w:p>
          <w:p w:rsidR="00CC47DB" w:rsidRDefault="00FE33A6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F. Nietzsche,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Tako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rzecze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Zaratustra Książka dla wszystkich i dla nikogo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przeł. W. Berent, wyd. Zysk i S-ka, Poznań 2000, s. 7-40. </w:t>
            </w:r>
          </w:p>
          <w:p w:rsidR="00CC47DB" w:rsidRDefault="00FE33A6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Scheler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Pisma z Antropologii filozoficznej i teorii wiedzy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 1987, (fragm.) </w:t>
            </w:r>
          </w:p>
          <w:p w:rsidR="00CC47DB" w:rsidRDefault="00FE33A6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J.P. Sartre , Egzystencjalizm jest humanizmem,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przeł. J. Krajewski, wy. Muza, Warszawa 1998. </w:t>
            </w:r>
          </w:p>
          <w:p w:rsidR="00CC47DB" w:rsidRDefault="00FE33A6">
            <w:pPr>
              <w:spacing w:after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T. Płużański,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Mounier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wyd. Wiedza Powszechna, Warszawa 1967 (wybór </w:t>
            </w:r>
          </w:p>
          <w:p w:rsidR="00CC47DB" w:rsidRDefault="00FE33A6">
            <w:pPr>
              <w:tabs>
                <w:tab w:val="center" w:pos="3649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pism)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:rsidR="00CC47DB" w:rsidRDefault="00FE33A6">
            <w:pPr>
              <w:spacing w:after="7" w:line="276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Rorty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R,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Przygodność, ironia i solidarność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przeł. W. J. Popowski, wyd. Spacja, Warszawa 1996. </w:t>
            </w:r>
          </w:p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244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CC47DB" w:rsidRDefault="00FE33A6">
            <w:pPr>
              <w:spacing w:after="19"/>
            </w:pPr>
            <w:r>
              <w:t xml:space="preserve">Cassirer E., </w:t>
            </w:r>
            <w:r>
              <w:rPr>
                <w:i/>
              </w:rPr>
              <w:t>Esej o człowieku. Wstęp do filozofii kultury</w:t>
            </w:r>
            <w:r>
              <w:t xml:space="preserve">, przeł. A. Staniewska, wyd. </w:t>
            </w:r>
          </w:p>
          <w:p w:rsidR="00CC47DB" w:rsidRDefault="00FE33A6">
            <w:pPr>
              <w:spacing w:after="16"/>
            </w:pPr>
            <w:r>
              <w:t xml:space="preserve">Czytelnik, Warszawa 1998 (fragm.) </w:t>
            </w:r>
          </w:p>
          <w:p w:rsidR="00CC47DB" w:rsidRDefault="00FE33A6">
            <w:pPr>
              <w:numPr>
                <w:ilvl w:val="0"/>
                <w:numId w:val="4"/>
              </w:numPr>
              <w:spacing w:line="276" w:lineRule="auto"/>
            </w:pPr>
            <w:proofErr w:type="spellStart"/>
            <w:r>
              <w:t>Bohme</w:t>
            </w:r>
            <w:proofErr w:type="spellEnd"/>
            <w:r>
              <w:t xml:space="preserve">, </w:t>
            </w:r>
            <w:r>
              <w:rPr>
                <w:i/>
              </w:rPr>
              <w:t>Antropologia filozoficzna. Ujęcie pragmatyczne</w:t>
            </w:r>
            <w:r>
              <w:t xml:space="preserve">, przeł. S. Czerniak, </w:t>
            </w:r>
            <w:proofErr w:type="spellStart"/>
            <w:r>
              <w:t>Wyd</w:t>
            </w:r>
            <w:proofErr w:type="spellEnd"/>
            <w:r>
              <w:t xml:space="preserve"> </w:t>
            </w:r>
            <w:proofErr w:type="spellStart"/>
            <w:r>
              <w:t>IFiS</w:t>
            </w:r>
            <w:proofErr w:type="spellEnd"/>
            <w:r>
              <w:t xml:space="preserve"> PAN, Warszawa 1998. </w:t>
            </w:r>
          </w:p>
          <w:p w:rsidR="00CC47DB" w:rsidRDefault="00FE33A6">
            <w:pPr>
              <w:numPr>
                <w:ilvl w:val="0"/>
                <w:numId w:val="4"/>
              </w:numPr>
              <w:spacing w:after="19" w:line="276" w:lineRule="auto"/>
            </w:pPr>
            <w:proofErr w:type="spellStart"/>
            <w:r>
              <w:t>Plessner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Pytanie o conditio </w:t>
            </w:r>
            <w:proofErr w:type="spellStart"/>
            <w:r>
              <w:rPr>
                <w:i/>
              </w:rPr>
              <w:t>humana</w:t>
            </w:r>
            <w:proofErr w:type="spellEnd"/>
            <w:r>
              <w:t xml:space="preserve">. </w:t>
            </w:r>
            <w:r>
              <w:rPr>
                <w:i/>
              </w:rPr>
              <w:t>Wybór pism</w:t>
            </w:r>
            <w:r>
              <w:t xml:space="preserve">. Przeł. M. Łukasiewicz, Z. Krasnodębski, A. Załuska, PIW 1988. </w:t>
            </w:r>
          </w:p>
          <w:p w:rsidR="00CC47DB" w:rsidRDefault="00FE33A6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CC47DB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17D" w:rsidRDefault="0016017D">
      <w:pPr>
        <w:spacing w:after="0" w:line="240" w:lineRule="auto"/>
      </w:pPr>
      <w:r>
        <w:separator/>
      </w:r>
    </w:p>
  </w:endnote>
  <w:endnote w:type="continuationSeparator" w:id="0">
    <w:p w:rsidR="0016017D" w:rsidRDefault="00160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17D" w:rsidRDefault="0016017D">
      <w:pPr>
        <w:spacing w:after="0" w:line="266" w:lineRule="auto"/>
      </w:pPr>
      <w:r>
        <w:separator/>
      </w:r>
    </w:p>
  </w:footnote>
  <w:footnote w:type="continuationSeparator" w:id="0">
    <w:p w:rsidR="0016017D" w:rsidRDefault="0016017D">
      <w:pPr>
        <w:spacing w:after="0" w:line="266" w:lineRule="auto"/>
      </w:pPr>
      <w:r>
        <w:continuationSeparator/>
      </w:r>
    </w:p>
  </w:footnote>
  <w:footnote w:id="1">
    <w:p w:rsidR="00CC47DB" w:rsidRDefault="00FE33A6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A6F18"/>
    <w:multiLevelType w:val="hybridMultilevel"/>
    <w:tmpl w:val="67FE16EA"/>
    <w:lvl w:ilvl="0" w:tplc="9238E6F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DED18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9ACFC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822062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84D572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DC0190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2998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9EF1D6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28595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C82347"/>
    <w:multiLevelType w:val="hybridMultilevel"/>
    <w:tmpl w:val="09869EEE"/>
    <w:lvl w:ilvl="0" w:tplc="98B62BE4">
      <w:start w:val="1"/>
      <w:numFmt w:val="upperLetter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A80CD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4E4B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C4B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B0DC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CAA2C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BA921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84A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AC89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60A67BE"/>
    <w:multiLevelType w:val="multilevel"/>
    <w:tmpl w:val="83FE19B4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E8824E5"/>
    <w:multiLevelType w:val="hybridMultilevel"/>
    <w:tmpl w:val="5934A7C0"/>
    <w:lvl w:ilvl="0" w:tplc="1004B8F4">
      <w:start w:val="7"/>
      <w:numFmt w:val="upperLetter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60380C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7874E2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4A699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1824DC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E2DF70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7215EC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1C1C2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A24BC4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7DB"/>
    <w:rsid w:val="0016017D"/>
    <w:rsid w:val="001C3CE5"/>
    <w:rsid w:val="00C12AA3"/>
    <w:rsid w:val="00CC47DB"/>
    <w:rsid w:val="00FE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17CA3"/>
  <w15:docId w15:val="{191BDE60-F74A-41B7-BF88-04CF30C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1024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5</cp:revision>
  <cp:lastPrinted>2022-12-08T13:12:00Z</cp:lastPrinted>
  <dcterms:created xsi:type="dcterms:W3CDTF">2022-12-08T13:13:00Z</dcterms:created>
  <dcterms:modified xsi:type="dcterms:W3CDTF">2024-08-12T10:15:00Z</dcterms:modified>
</cp:coreProperties>
</file>